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44"/>
          <w:szCs w:val="4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44"/>
          <w:szCs w:val="44"/>
        </w:rPr>
        <w:t>收单如何测试行业码相关接口</w:t>
      </w:r>
    </w:p>
    <w:p>
      <w:pPr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pict>
          <v:rect id="_x0000_i102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  <w:lang w:eastAsia="zh-CN"/>
        </w:rPr>
        <w:t>修订记录</w:t>
      </w:r>
    </w:p>
    <w:p>
      <w:pPr>
        <w:pStyle w:val="5"/>
        <w:widowControl/>
        <w:rPr>
          <w:rFonts w:hint="eastAsia" w:ascii="仿宋" w:hAnsi="仿宋" w:eastAsia="仿宋" w:cs="仿宋"/>
          <w:color w:val="000000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2025/3/6：初始正式发布。</w:t>
      </w:r>
      <w:bookmarkStart w:id="0" w:name="_GoBack"/>
      <w:bookmarkEnd w:id="0"/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前言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前台二维码交易流程比较复杂，目前测试环境无测试app，请务必让技术人员来测试，请务必先阅读完改造指南，了解获取用户标识、前台付款的的交易流程再来看这个文档。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收款方使用自身域名生成行业码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color w:val="000000"/>
        </w:rPr>
        <w:t>比如收单方域名https://open.unionpay.com/，生成行业码https://open.unionpay.com/dhisddj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chrome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  <w:lang w:val="en-US" w:eastAsia="zh-CN"/>
        </w:rPr>
        <w:t>开发者工具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设置UserAgent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按F12可调出开发者工具，后续按下面的图1、2操作。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User Agent请使用如下数据：</w:t>
      </w:r>
    </w:p>
    <w:p>
      <w:pPr>
        <w:pStyle w:val="4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2"/>
          <w:szCs w:val="22"/>
        </w:rPr>
      </w:pPr>
      <w:r>
        <w:rPr>
          <w:rStyle w:val="10"/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18"/>
          <w:szCs w:val="22"/>
        </w:rPr>
        <w:t>Mozilla/5.0 (Linux; Android 6.0; Nexus 5 Build/MRA58N) AppleWebKit/537.36 (KHTML, like Gecko) Chrome/63.0.3239.84 Mobile Safari/ UnionPay/1.0 TESTPAY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操作中遇到页面点击不了的问题或者遇到js断点无法退出时都可以按2次F12退出、重新进入开发者工具。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1425" cy="4847590"/>
            <wp:effectExtent l="0" t="0" r="15875" b="1016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484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（图1）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1425" cy="4847590"/>
            <wp:effectExtent l="0" t="0" r="15875" b="10160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484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（图2）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获取用户授权接口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（开着开发者工具设过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UserAgent的前提下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在地址栏输入码的url地址（如图3）。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2695" cy="3149600"/>
            <wp:effectExtent l="0" t="0" r="14605" b="12700"/>
            <wp:docPr id="16" name="图片 1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2695" cy="314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（图3）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如贵司系统实现的正确，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应该会重定向到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银联规范要求的获取用户授权地址（如图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4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绿色部分），取出地址栏最后的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redirectUrl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，做下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url解码，在地址最后拼接respCode和userAuthCode（拼接方式见图5，拼接的数据的值见后续获取用户标识章节）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。此时界面会显示“不支持该支付方式”，这个是正常情况，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无视即可，真实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app会拦截那个重定向并调起支付界面， 是不会把这个页面展示给用户的。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drawing>
          <wp:inline distT="0" distB="0" distL="114300" distR="114300">
            <wp:extent cx="8860155" cy="5281295"/>
            <wp:effectExtent l="0" t="0" r="17145" b="1460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28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（图4）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drawing>
          <wp:inline distT="0" distB="0" distL="114300" distR="114300">
            <wp:extent cx="8860155" cy="5281295"/>
            <wp:effectExtent l="0" t="0" r="17145" b="14605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28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（图5）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获取用户标识接口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app在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获取用户授权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成功后需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在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redirectUrl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最后拼接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respCode=00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和临时授权码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userAuthCode（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拼接方式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如图5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，但过测试案例时使用的值见下方说明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然后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重定向回这个地址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收单收到这个url的访问后应该要自动触发银联二维码平台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的“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获取用户标识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”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接口，根据获取到的用户标识展示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对应的订单页面让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用户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单（如图6）。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89"/>
        <w:gridCol w:w="5350"/>
        <w:gridCol w:w="62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89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userAuthCode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取值</w:t>
            </w:r>
          </w:p>
        </w:tc>
        <w:tc>
          <w:tcPr>
            <w:tcW w:w="5350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default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收单的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redirectUrl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最后拼接内容</w:t>
            </w:r>
          </w:p>
        </w:tc>
        <w:tc>
          <w:tcPr>
            <w:tcW w:w="6235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89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testSameAuthCode</w:t>
            </w:r>
          </w:p>
        </w:tc>
        <w:tc>
          <w:tcPr>
            <w:tcW w:w="5350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respCode=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00&amp;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userAuthCode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=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testSameAuthCode</w:t>
            </w:r>
          </w:p>
        </w:tc>
        <w:tc>
          <w:tcPr>
            <w:tcW w:w="6235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会固定返回一个用户标识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89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U6Xw7t+rnsy/chp0azxTj0DBjod3bVQZ2g==</w:t>
            </w:r>
          </w:p>
        </w:tc>
        <w:tc>
          <w:tcPr>
            <w:tcW w:w="5350" w:type="dxa"/>
            <w:vAlign w:val="top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jc w:val="left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respCode=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00&amp;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userAuthCode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=U6Xw7t%2Brnsy%2Fchp0azxTj0DBjod3bVQZ2g%3D%3D</w:t>
            </w:r>
          </w:p>
        </w:tc>
        <w:tc>
          <w:tcPr>
            <w:tcW w:w="6235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jc w:val="left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highlight w:val="yellow"/>
                <w:lang w:eastAsia="zh-CN"/>
              </w:rPr>
              <w:t>【开放平台任务中的案例需使用这条数据测试】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会固定返回一个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带加号的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用户标识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。这条数据用于测试贵司系统对各接口中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userAuthCode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用户标识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的url编码处理是否正确。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589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  <w:t>其他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符合规范的值</w:t>
            </w:r>
          </w:p>
        </w:tc>
        <w:tc>
          <w:tcPr>
            <w:tcW w:w="5350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respCode=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00&amp;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userAuthCode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=任意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符合规范的值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val="en-US" w:eastAsia="zh-CN"/>
              </w:rPr>
              <w:t>12-64数字字母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6235" w:type="dxa"/>
          </w:tcPr>
          <w:p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textAlignment w:val="auto"/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</w:rPr>
              <w:t>用户标识会随机返回一串数据</w:t>
            </w:r>
            <w:r>
              <w:rPr>
                <w:rFonts w:hint="eastAsia" w:ascii="仿宋" w:hAnsi="仿宋" w:eastAsia="仿宋" w:cs="仿宋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lang w:eastAsia="zh-CN"/>
              </w:rPr>
              <w:t>。</w:t>
            </w:r>
          </w:p>
        </w:tc>
      </w:tr>
    </w:tbl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示例1(redirectUrl地址不带参数，使用?拼接）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收款方返回的重定向地址：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https://qr.95516.com/qrcGtwWeb-web/api/userAuth?version=1.0.0&amp;redirectUrl=https%3a%2f%2fpay.icbc.com%2furlToGetUserId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APP访问收款方包含用户授权：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https://pay.icbc.com/urlToGetUserId</w:t>
      </w:r>
      <w:r>
        <w:rPr>
          <w:rFonts w:hint="eastAsia" w:ascii="仿宋" w:hAnsi="仿宋" w:eastAsia="仿宋" w:cs="仿宋"/>
          <w:color w:val="000000"/>
          <w:highlight w:val="yellow"/>
        </w:rPr>
        <w:t>?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</w:rPr>
        <w:t>respCode=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  <w:lang w:val="en-US" w:eastAsia="zh-CN"/>
        </w:rPr>
        <w:t>00&amp;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</w:rPr>
        <w:t>userAuthCode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  <w:lang w:val="en-US" w:eastAsia="zh-CN"/>
        </w:rPr>
        <w:t>=U6Xw7t%2Brnsy%2Fchp0azxTj0DBjod3bVQZ2g%3D%3D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示例2(redirectUrl地址自带参数，使用&amp;拼接）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收款方返回的重定向地址：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https://qr.95516.com/qrcGtwWeb-web/api/userAuth?version=1.0.0&amp;redirectUrl=https%3a%2f%2fpay.icbc.com%2furlToGetUserId%3fp1%3dicbcparameter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</w:rPr>
      </w:pPr>
      <w:r>
        <w:rPr>
          <w:rFonts w:hint="eastAsia" w:ascii="仿宋" w:hAnsi="仿宋" w:eastAsia="仿宋" w:cs="仿宋"/>
          <w:color w:val="000000"/>
        </w:rPr>
        <w:t>APP访问收款方包含用户授权：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color w:val="000000"/>
          <w:highlight w:val="yellow"/>
        </w:rPr>
      </w:pPr>
      <w:r>
        <w:rPr>
          <w:rFonts w:hint="eastAsia" w:ascii="仿宋" w:hAnsi="仿宋" w:eastAsia="仿宋" w:cs="仿宋"/>
          <w:color w:val="000000"/>
        </w:rPr>
        <w:t>https://pay.icbc.com/urlToGetUserId?p1=icbcparameter</w:t>
      </w:r>
      <w:r>
        <w:rPr>
          <w:rFonts w:hint="eastAsia" w:ascii="仿宋" w:hAnsi="仿宋" w:eastAsia="仿宋" w:cs="仿宋"/>
          <w:color w:val="000000"/>
          <w:highlight w:val="yellow"/>
        </w:rPr>
        <w:t>&amp;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</w:rPr>
        <w:t>respCode=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  <w:lang w:val="en-US" w:eastAsia="zh-CN"/>
        </w:rPr>
        <w:t>00&amp;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</w:rPr>
        <w:t>userAuthCode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highlight w:val="yellow"/>
          <w:lang w:val="en-US" w:eastAsia="zh-CN"/>
        </w:rPr>
        <w:t>=U6Xw7t%2Brnsy%2Fchp0azxTj0DBjod3bVQZ2g%3D%3D</w:t>
      </w:r>
    </w:p>
    <w:p>
      <w:pPr>
        <w:pStyle w:val="5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/>
        <w:ind w:left="0" w:firstLine="0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drawing>
          <wp:inline distT="0" distB="0" distL="114300" distR="114300">
            <wp:extent cx="8860155" cy="5281295"/>
            <wp:effectExtent l="0" t="0" r="17145" b="14605"/>
            <wp:docPr id="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28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（图6）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订单推送接口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用户在收单机构的页面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单后（如图6），收单机构自动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向银联二维码平台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触发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“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订单推送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”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接口，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收到应答后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把页面重定向到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订单推送接口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返回的redirectUrl。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订单推送接口的请求中需包含用户标识字段。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后续完成支付</w:t>
      </w:r>
    </w:p>
    <w:p>
      <w:pPr>
        <w:pStyle w:val="5"/>
        <w:keepNext w:val="0"/>
        <w:keepLines w:val="0"/>
        <w:widowControl/>
        <w:numPr>
          <w:ilvl w:val="0"/>
          <w:numId w:val="1"/>
        </w:numPr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重定向后，页面会跳转至一个付款失败页面（此跳转真实app会拦截所以用户并不会看到这个页面），取地址栏（如图7），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整体做一下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url解码（如图8），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取出其中的txnAmt（金额）、txnNo（交易序列号）、frontUrl（如果订单推送送了此处会出现一个地址，url解码一下）后续待用。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drawing>
          <wp:inline distT="0" distB="0" distL="114300" distR="114300">
            <wp:extent cx="8860155" cy="5915660"/>
            <wp:effectExtent l="0" t="0" r="17145" b="8890"/>
            <wp:docPr id="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91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（图7）</w:t>
      </w:r>
    </w:p>
    <w:p>
      <w:pPr>
        <w:pStyle w:val="5"/>
        <w:keepNext w:val="0"/>
        <w:keepLines w:val="0"/>
        <w:widowControl/>
        <w:numPr>
          <w:ilvl w:val="-1"/>
          <w:numId w:val="0"/>
        </w:numPr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drawing>
          <wp:inline distT="0" distB="0" distL="114300" distR="114300">
            <wp:extent cx="8855075" cy="1812925"/>
            <wp:effectExtent l="0" t="0" r="3175" b="15875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55075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numPr>
          <w:ilvl w:val="-1"/>
          <w:numId w:val="0"/>
        </w:numPr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（图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8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2) 打开我们主扫付款方仿真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24"/>
          <w:szCs w:val="24"/>
        </w:rPr>
        <w:instrText xml:space="preserve"> HYPERLINK "https://open.unionpay.com/ajweb/help/qrcodeFormPage/mainSweepReceiverApp" \t "/home/sunchenlan@unionpay/Documents\\x/_blank" </w:instrTex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24"/>
          <w:szCs w:val="24"/>
        </w:rPr>
        <w:t>https://open.unionpay.com/tjweb/ij/tool/qrcodeFormPage/mainSweepReceiverApp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，点击“4. 付款”，填写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发卡机构代码为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90880031（默认的90880019，需修改成90880031） 、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金额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（前面记录的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txnAmt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）、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交易序列号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（前面记录的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txnNo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完成付款（如图8）。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2602230</wp:posOffset>
                </wp:positionH>
                <wp:positionV relativeFrom="paragraph">
                  <wp:posOffset>1390015</wp:posOffset>
                </wp:positionV>
                <wp:extent cx="1842135" cy="370205"/>
                <wp:effectExtent l="13970" t="13970" r="29845" b="1587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2135" cy="37020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color w:val="FF0000"/>
                                <w:sz w:val="16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6"/>
                                <w:szCs w:val="20"/>
                                <w:lang w:val="en-US" w:eastAsia="zh-CN"/>
                              </w:rPr>
                              <w:t xml:space="preserve">    改为90880031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4.9pt;margin-top:109.45pt;height:29.15pt;width:145.05pt;z-index:251660288;v-text-anchor:middle;mso-width-relative:page;mso-height-relative:page;" filled="f" stroked="t" coordsize="21600,21600" o:gfxdata="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WAAAAZHJzL1BLAQIUABQAAAAIAIdO4kC+m+Wa2wAAAAsB&#10;AAAPAAAAAAAAAAEAIAAAADgAAABkcnMvZG93bnJldi54bWxQSwECFAAUAAAACACHTuJAHBJd2nQC&#10;AADWBAAADgAAAAAAAAABACAAAABAAQAAZHJzL2Uyb0RvYy54bWxQSwUGAAAAAAYABgBZAQAAJgYA&#10;AAAA&#10;">
                <v:fill on="f" focussize="0,0"/>
                <v:stroke weight="2.25pt" color="#92D05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color w:val="FF0000"/>
                          <w:sz w:val="16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16"/>
                          <w:szCs w:val="20"/>
                          <w:lang w:val="en-US" w:eastAsia="zh-CN"/>
                        </w:rPr>
                        <w:t xml:space="preserve">    改为90880031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0155" cy="4860925"/>
            <wp:effectExtent l="0" t="0" r="17145" b="15875"/>
            <wp:docPr id="21" name="图片 2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486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（图8）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前台通知接口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如果订单推送接口送了frontUrl，取出上一步获取的付款方接口的frontUrl（不是订单推送上送的frontUrl），进行url解码，如果地址为生产地址，则手工加上test，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浏览器开着开发者模式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修改UserAgent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的情况下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直接访问这个地址，应该会自动post表单到收单上送的frontUrl，收单可根据报文进行处理。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br w:type="textWrapping"/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8849360" cy="5243195"/>
            <wp:effectExtent l="0" t="0" r="8890" b="14605"/>
            <wp:docPr id="11" name="图片 1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49360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（图9）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营销测试的说明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1) 测试参数说明：如果需要测试营销相关字段，订单推送时请使用我们提供的商户号和金额。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测试环境测试配置规则：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单银联出资固定使用demo中的商户号777290058135880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① 消费金额大于10元时触发随机立减DD01类型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② 消费金额介于2元到10元之间触发抵金券CP01类型（满2减1）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银联+商户出资固定使用商户号777290058135881，金额大于10元。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2) 测试步骤说明：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① 调付款方仿真，点击“3. 查询营销”，填写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付款方机构代码（改为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90880031）、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金额和交易序列号，下面收款方信息随便填写不会验证。成功的话会返回couponInfo，复制一下待用（如图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10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）。失败如果提示营销信息不存在、营销金额已用完等提示，请注意自行先检查下商户号、金额是否按上面说的上送。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2757170</wp:posOffset>
                </wp:positionH>
                <wp:positionV relativeFrom="paragraph">
                  <wp:posOffset>1335405</wp:posOffset>
                </wp:positionV>
                <wp:extent cx="1842135" cy="422910"/>
                <wp:effectExtent l="13970" t="13970" r="29845" b="2032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25750" y="2658110"/>
                          <a:ext cx="1842135" cy="4229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color w:val="FF0000"/>
                                <w:sz w:val="16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6"/>
                                <w:szCs w:val="20"/>
                                <w:lang w:val="en-US" w:eastAsia="zh-CN"/>
                              </w:rPr>
                              <w:t xml:space="preserve">    改为90880031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7.1pt;margin-top:105.15pt;height:33.3pt;width:145.05pt;z-index:251659264;v-text-anchor:middle;mso-width-relative:page;mso-height-relative:page;" filled="f" stroked="t" coordsize="21600,21600" o:gfxdata="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WAAAAZHJzL1BLAQIUABQAAAAIAIdO4kBMXksZ&#10;2gAAAAsBAAAPAAAAAAAAAAEAIAAAADgAAABkcnMvZG93bnJldi54bWxQSwECFAAUAAAACACHTuJA&#10;YgG4F3sCAADiBAAADgAAAAAAAAABACAAAAA/AQAAZHJzL2Uyb0RvYy54bWxQSwUGAAAAAAYABgBZ&#10;AQAALAYAAAAA&#10;">
                <v:fill on="f" focussize="0,0"/>
                <v:stroke weight="2.25pt" color="#92D05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color w:val="FF0000"/>
                          <w:sz w:val="16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16"/>
                          <w:szCs w:val="20"/>
                          <w:lang w:val="en-US" w:eastAsia="zh-CN"/>
                        </w:rPr>
                        <w:t xml:space="preserve">    改为90880031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1425" cy="4880610"/>
            <wp:effectExtent l="0" t="0" r="15875" b="15240"/>
            <wp:docPr id="22" name="图片 2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488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10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② couponInfo用解base64的工具解一下数据。如果解失败的话，后面试试加1-3个=把长度补充到4的整数倍。解成功后记录里面的offsetAmt为优惠金额（如图1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1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1425" cy="4840605"/>
            <wp:effectExtent l="0" t="0" r="15875" b="17145"/>
            <wp:docPr id="23" name="图片 2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484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（图1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1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③ 点击“4. 付款”，填写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发卡机构代码（改为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90880031）、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金额（填txnAmt-offsetAmt之后的值）、交易序列号（txnNo）、优惠信息（couponInfo原始的base64数据）、初始交易金额（txnAmt）（如图1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2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），点发送。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2450465</wp:posOffset>
                </wp:positionH>
                <wp:positionV relativeFrom="paragraph">
                  <wp:posOffset>1332865</wp:posOffset>
                </wp:positionV>
                <wp:extent cx="1842135" cy="422910"/>
                <wp:effectExtent l="13970" t="13970" r="29845" b="2032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2135" cy="4229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color w:val="FF0000"/>
                                <w:sz w:val="16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6"/>
                                <w:szCs w:val="20"/>
                                <w:lang w:val="en-US" w:eastAsia="zh-CN"/>
                              </w:rPr>
                              <w:t xml:space="preserve">    改为90880031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2.95pt;margin-top:104.95pt;height:33.3pt;width:145.05pt;z-index:251661312;v-text-anchor:middle;mso-width-relative:page;mso-height-relative:page;" filled="f" stroked="t" coordsize="21600,21600" o:gfxdata="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FgAAAGRycy9QSwECFAAUAAAACACHTuJAlRbLR9sAAAAL&#10;AQAADwAAAAAAAAABACAAAAA4AAAAZHJzL2Rvd25yZXYueG1sUEsBAhQAFAAAAAgAh07iQApncOF1&#10;AgAA1gQAAA4AAAAAAAAAAQAgAAAAQAEAAGRycy9lMm9Eb2MueG1sUEsFBgAAAAAGAAYAWQEAACcG&#10;AAAAAA==&#10;">
                <v:fill on="f" focussize="0,0"/>
                <v:stroke weight="2.25pt" color="#92D05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color w:val="FF0000"/>
                          <w:sz w:val="16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16"/>
                          <w:szCs w:val="20"/>
                          <w:lang w:val="en-US" w:eastAsia="zh-CN"/>
                        </w:rPr>
                        <w:t xml:space="preserve">    改为90880031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drawing>
          <wp:inline distT="0" distB="0" distL="114300" distR="114300">
            <wp:extent cx="8860155" cy="4860925"/>
            <wp:effectExtent l="0" t="0" r="17145" b="15875"/>
            <wp:docPr id="24" name="图片 2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486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（图1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  <w:lang w:val="en-US" w:eastAsia="zh-CN"/>
        </w:rPr>
        <w:t>2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）</w:t>
      </w:r>
    </w:p>
    <w:p>
      <w:pPr>
        <w:pStyle w:val="3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2"/>
          <w:szCs w:val="32"/>
        </w:rPr>
        <w:t>其他接口</w:t>
      </w:r>
    </w:p>
    <w:p>
      <w:pPr>
        <w:pStyle w:val="5"/>
        <w:keepNext w:val="0"/>
        <w:keepLines w:val="0"/>
        <w:widowControl/>
        <w:suppressLineNumbers w:val="0"/>
        <w:ind w:left="0" w:firstLine="0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24"/>
          <w:szCs w:val="24"/>
        </w:rPr>
        <w:t>收单自己调用就即可。</w:t>
      </w:r>
    </w:p>
    <w:p>
      <w:pPr>
        <w:rPr>
          <w:rFonts w:hint="eastAsia" w:ascii="仿宋" w:hAnsi="仿宋" w:eastAsia="仿宋" w:cs="仿宋"/>
          <w:sz w:val="20"/>
          <w:szCs w:val="22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DejaVu Sans">
    <w:panose1 w:val="020B0606030804020204"/>
    <w:charset w:val="00"/>
    <w:family w:val="auto"/>
    <w:pitch w:val="default"/>
    <w:sig w:usb0="E7006EFF" w:usb1="D200FDFF" w:usb2="0A246029" w:usb3="0400200C" w:csb0="600001FF" w:csb1="D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icrosoft YaHei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FDF315B"/>
    <w:multiLevelType w:val="singleLevel"/>
    <w:tmpl w:val="AFDF315B"/>
    <w:lvl w:ilvl="0" w:tentative="0">
      <w:start w:val="1"/>
      <w:numFmt w:val="decimal"/>
      <w:suff w:val="space"/>
      <w:lvlText w:val="%1)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embedSystemFonts/>
  <w:bordersDoNotSurroundHeader w:val="0"/>
  <w:bordersDoNotSurroundFooter w:val="0"/>
  <w:trackRevisions w:val="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DEF9C0E"/>
    <w:rsid w:val="0D35AA6B"/>
    <w:rsid w:val="12FE661F"/>
    <w:rsid w:val="1DCDAB22"/>
    <w:rsid w:val="1EBD8883"/>
    <w:rsid w:val="33A79FC9"/>
    <w:rsid w:val="3FF6442B"/>
    <w:rsid w:val="56DEA35B"/>
    <w:rsid w:val="56FF3A12"/>
    <w:rsid w:val="5D7F7F0F"/>
    <w:rsid w:val="5EF5A516"/>
    <w:rsid w:val="5EFF05BB"/>
    <w:rsid w:val="5FBC24AF"/>
    <w:rsid w:val="5FF2806C"/>
    <w:rsid w:val="67BDB7C6"/>
    <w:rsid w:val="6F8FA761"/>
    <w:rsid w:val="6FD71CF7"/>
    <w:rsid w:val="753DA838"/>
    <w:rsid w:val="7B9D1DA4"/>
    <w:rsid w:val="7E7F07F3"/>
    <w:rsid w:val="7EF71171"/>
    <w:rsid w:val="7F1F0E1D"/>
    <w:rsid w:val="7FBF002E"/>
    <w:rsid w:val="AEB4595E"/>
    <w:rsid w:val="B7FBF2A0"/>
    <w:rsid w:val="BF3FCDD4"/>
    <w:rsid w:val="BF6FE137"/>
    <w:rsid w:val="BFF8ECF6"/>
    <w:rsid w:val="CBD60871"/>
    <w:rsid w:val="D3FEC5DD"/>
    <w:rsid w:val="DEDB13DD"/>
    <w:rsid w:val="E73AF8D9"/>
    <w:rsid w:val="E7AE4061"/>
    <w:rsid w:val="EF9D72EA"/>
    <w:rsid w:val="F6FF243C"/>
    <w:rsid w:val="F7FAECC6"/>
    <w:rsid w:val="F7FD1265"/>
    <w:rsid w:val="F7FFAB75"/>
    <w:rsid w:val="FAB9F8C4"/>
    <w:rsid w:val="FBAF9CAC"/>
    <w:rsid w:val="FDEF9C0E"/>
    <w:rsid w:val="FE37DB13"/>
    <w:rsid w:val="FF5ED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basedOn w:val="8"/>
    <w:qFormat/>
    <w:uiPriority w:val="0"/>
    <w:rPr>
      <w:color w:val="0000FF"/>
      <w:u w:val="single"/>
    </w:rPr>
  </w:style>
  <w:style w:type="character" w:styleId="10">
    <w:name w:val="HTML Code"/>
    <w:basedOn w:val="8"/>
    <w:qFormat/>
    <w:uiPriority w:val="0"/>
    <w:rPr>
      <w:rFonts w:ascii="Courier New" w:hAnsi="Courier New"/>
      <w:sz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Office_11.8.2.12009_F1E327BC-269C-435d-A152-05C5408002CA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2024-11-01T08:44:00Z</dcterms:created>
  <dc:creator>sunchenlan@unionpay</dc:creator>
  <cp:lastModifiedBy>sunchenlan@unionpay</cp:lastModifiedBy>
  <dcterms:modified xsi:type="dcterms:W3CDTF">2025-03-06T13:35:56Z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2052-11.8.2.12009</vt:lpwstr>
  </property>
  <property fmtid="{D5CDD505-2E9C-101B-9397-08002B2CF9AE}" pid="3" name="ICV">
    <vt:lpwstr>3FCBDD5EF0FECB990BD32267620EDD77</vt:lpwstr>
  </property>
</Properties>
</file>