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rPr>
          <w:rFonts w:ascii="黑体" w:hAnsi="黑体" w:eastAsia="黑体"/>
          <w:sz w:val="30"/>
          <w:szCs w:val="30"/>
        </w:rPr>
      </w:pPr>
      <w:bookmarkStart w:id="0" w:name="_Toc394058093"/>
      <w:bookmarkStart w:id="1" w:name="_Toc402875141"/>
      <w:bookmarkStart w:id="2" w:name="_Toc402961533"/>
      <w:r>
        <w:rPr>
          <w:rFonts w:hint="eastAsia" w:ascii="黑体" w:hAnsi="黑体" w:eastAsia="黑体"/>
          <w:sz w:val="30"/>
          <w:szCs w:val="30"/>
        </w:rPr>
        <w:t>证书下载及导出流程</w:t>
      </w:r>
      <w:bookmarkEnd w:id="0"/>
      <w:bookmarkEnd w:id="1"/>
      <w:bookmarkEnd w:id="2"/>
    </w:p>
    <w:p>
      <w:pPr>
        <w:pStyle w:val="4"/>
        <w:numPr>
          <w:ilvl w:val="0"/>
          <w:numId w:val="0"/>
        </w:numPr>
        <w:rPr>
          <w:rFonts w:ascii="黑体" w:hAnsi="黑体" w:eastAsia="黑体"/>
          <w:sz w:val="28"/>
          <w:szCs w:val="28"/>
        </w:rPr>
      </w:pPr>
      <w:bookmarkStart w:id="3" w:name="_Toc394058094"/>
      <w:bookmarkStart w:id="4" w:name="_Toc402875142"/>
      <w:bookmarkStart w:id="5" w:name="_Toc402961534"/>
      <w:r>
        <w:rPr>
          <w:rFonts w:hint="eastAsia" w:ascii="黑体" w:hAnsi="黑体" w:eastAsia="黑体"/>
          <w:sz w:val="28"/>
          <w:szCs w:val="28"/>
        </w:rPr>
        <w:t>1. 证书下载流程</w:t>
      </w:r>
      <w:bookmarkEnd w:id="3"/>
      <w:bookmarkEnd w:id="4"/>
      <w:bookmarkEnd w:id="5"/>
    </w:p>
    <w:p>
      <w:pPr>
        <w:numPr>
          <w:ilvl w:val="2"/>
          <w:numId w:val="2"/>
        </w:num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登入CFCA中国金融认证中心官网网址：</w:t>
      </w:r>
      <w:r>
        <w:fldChar w:fldCharType="begin"/>
      </w:r>
      <w:r>
        <w:instrText xml:space="preserve"> HYPERLINK "http://www.cfca.com.cn/" </w:instrText>
      </w:r>
      <w:r>
        <w:fldChar w:fldCharType="separate"/>
      </w:r>
      <w:r>
        <w:rPr>
          <w:rStyle w:val="16"/>
          <w:rFonts w:ascii="黑体" w:hAnsi="黑体" w:eastAsia="黑体"/>
          <w:szCs w:val="21"/>
        </w:rPr>
        <w:t>http://www.cfca.com.cn/</w:t>
      </w:r>
      <w:r>
        <w:rPr>
          <w:rStyle w:val="16"/>
          <w:rFonts w:ascii="黑体" w:hAnsi="黑体" w:eastAsia="黑体"/>
          <w:szCs w:val="21"/>
        </w:rPr>
        <w:fldChar w:fldCharType="end"/>
      </w:r>
      <w:r>
        <w:rPr>
          <w:rFonts w:hint="eastAsia" w:ascii="黑体" w:hAnsi="黑体" w:eastAsia="黑体"/>
          <w:szCs w:val="21"/>
        </w:rPr>
        <w:t>，点击“证书自助”-“相关下载”，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5267325" cy="800100"/>
            <wp:effectExtent l="19050" t="0" r="9525" b="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numPr>
          <w:ilvl w:val="2"/>
          <w:numId w:val="2"/>
        </w:num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 xml:space="preserve">在生产证书下载选项中点击 </w:t>
      </w:r>
      <w:r>
        <w:rPr>
          <w:rFonts w:ascii="黑体" w:hAnsi="黑体" w:eastAsia="黑体"/>
          <w:szCs w:val="21"/>
        </w:rPr>
        <w:sym w:font="Wingdings" w:char="F0E0"/>
      </w:r>
      <w:r>
        <w:rPr>
          <w:rFonts w:hint="eastAsia" w:ascii="黑体" w:hAnsi="黑体" w:eastAsia="黑体"/>
          <w:szCs w:val="21"/>
        </w:rPr>
        <w:t xml:space="preserve"> </w:t>
      </w:r>
      <w:r>
        <w:rPr>
          <w:rFonts w:ascii="黑体" w:hAnsi="黑体" w:eastAsia="黑体"/>
          <w:szCs w:val="21"/>
        </w:rPr>
        <w:t>“</w:t>
      </w:r>
      <w:r>
        <w:rPr>
          <w:rFonts w:hint="eastAsia" w:ascii="黑体" w:hAnsi="黑体" w:eastAsia="黑体"/>
          <w:szCs w:val="21"/>
        </w:rPr>
        <w:t>证书下载</w:t>
      </w:r>
      <w:r>
        <w:rPr>
          <w:rFonts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</w:rPr>
        <w:t>-</w:t>
      </w:r>
      <w:r>
        <w:rPr>
          <w:rFonts w:ascii="黑体" w:hAnsi="黑体" w:eastAsia="黑体"/>
          <w:szCs w:val="21"/>
        </w:rPr>
        <w:t>“</w:t>
      </w:r>
      <w:r>
        <w:rPr>
          <w:rFonts w:hint="eastAsia" w:ascii="黑体" w:hAnsi="黑体" w:eastAsia="黑体"/>
          <w:szCs w:val="21"/>
        </w:rPr>
        <w:t>生产系统证书下载</w:t>
      </w:r>
      <w:r>
        <w:rPr>
          <w:rFonts w:ascii="黑体" w:hAnsi="黑体" w:eastAsia="黑体"/>
          <w:szCs w:val="21"/>
        </w:rPr>
        <w:t>”</w:t>
      </w:r>
      <w:r>
        <w:rPr>
          <w:rFonts w:hint="eastAsia" w:ascii="黑体" w:hAnsi="黑体" w:eastAsia="黑体"/>
          <w:szCs w:val="21"/>
        </w:rPr>
        <w:t>-“新证书下载平台(生产证书)”；</w:t>
      </w:r>
    </w:p>
    <w:p>
      <w:pPr>
        <w:ind w:left="315" w:hanging="315" w:hangingChars="150"/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5267325" cy="1524000"/>
            <wp:effectExtent l="19050" t="0" r="9525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jc w:val="left"/>
        <w:rPr>
          <w:rFonts w:ascii="黑体" w:hAnsi="黑体" w:eastAsia="黑体"/>
          <w:szCs w:val="21"/>
        </w:rPr>
      </w:pPr>
    </w:p>
    <w:p>
      <w:pPr>
        <w:numPr>
          <w:ilvl w:val="2"/>
          <w:numId w:val="2"/>
        </w:num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首次下载证书,请按照页面提示安装相应程序，以保证证书顺利下载；【如果安装控件有任何问题，请联系cfca官网的客服咨询。】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5274310" cy="21710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numPr>
          <w:ilvl w:val="2"/>
          <w:numId w:val="2"/>
        </w:num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如果出现协议提示，请“接受此协议”；</w:t>
      </w:r>
    </w:p>
    <w:p>
      <w:pPr>
        <w:ind w:left="426"/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778375" cy="3724275"/>
            <wp:effectExtent l="19050" t="0" r="3072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478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numPr>
          <w:ilvl w:val="2"/>
          <w:numId w:val="2"/>
        </w:num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输入CFCA提供的两码：证书序列号（也就是业务邮件里的</w:t>
      </w:r>
      <w:r>
        <w:rPr>
          <w:rFonts w:ascii="黑体" w:hAnsi="黑体" w:eastAsia="黑体"/>
          <w:szCs w:val="21"/>
        </w:rPr>
        <w:t>参考号</w:t>
      </w:r>
      <w:r>
        <w:rPr>
          <w:rFonts w:hint="eastAsia" w:ascii="黑体" w:hAnsi="黑体" w:eastAsia="黑体"/>
          <w:szCs w:val="21"/>
        </w:rPr>
        <w:t xml:space="preserve">） &amp; </w:t>
      </w:r>
      <w:r>
        <w:rPr>
          <w:rFonts w:ascii="黑体" w:hAnsi="黑体" w:eastAsia="黑体"/>
          <w:szCs w:val="21"/>
        </w:rPr>
        <w:t>授权码</w:t>
      </w:r>
      <w:r>
        <w:rPr>
          <w:rFonts w:hint="eastAsia" w:ascii="黑体" w:hAnsi="黑体" w:eastAsia="黑体"/>
          <w:szCs w:val="21"/>
        </w:rPr>
        <w:t>（也就是业务邮件里的授权码）</w:t>
      </w:r>
    </w:p>
    <w:p>
      <w:pPr>
        <w:pStyle w:val="32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【注：正式入网签约后，业务会发正式入网参数信息通知邮件给商户。</w:t>
      </w:r>
      <w:r>
        <w:rPr>
          <w:rFonts w:ascii="黑体" w:hAnsi="黑体" w:eastAsia="黑体"/>
          <w:szCs w:val="21"/>
        </w:rPr>
        <w:t>用户参考号</w:t>
      </w:r>
      <w:r>
        <w:rPr>
          <w:rFonts w:hint="eastAsia" w:ascii="黑体" w:hAnsi="黑体" w:eastAsia="黑体"/>
          <w:szCs w:val="21"/>
        </w:rPr>
        <w:t>、用户</w:t>
      </w:r>
      <w:r>
        <w:rPr>
          <w:rFonts w:ascii="黑体" w:hAnsi="黑体" w:eastAsia="黑体"/>
          <w:szCs w:val="21"/>
        </w:rPr>
        <w:t>授权码</w:t>
      </w:r>
      <w:r>
        <w:rPr>
          <w:rFonts w:hint="eastAsia" w:ascii="黑体" w:hAnsi="黑体" w:eastAsia="黑体"/>
          <w:szCs w:val="21"/>
        </w:rPr>
        <w:t>是入网通知邮件里提供的。】</w:t>
      </w:r>
    </w:p>
    <w:p>
      <w:pPr>
        <w:ind w:firstLine="525" w:firstLineChars="250"/>
        <w:jc w:val="left"/>
        <w:rPr>
          <w:rFonts w:ascii="黑体" w:hAnsi="黑体" w:eastAsia="黑体"/>
          <w:szCs w:val="21"/>
        </w:rPr>
      </w:pPr>
      <w:bookmarkStart w:id="9" w:name="_GoBack"/>
      <w:r>
        <w:rPr>
          <w:rFonts w:ascii="黑体" w:hAnsi="黑体" w:eastAsia="黑体"/>
          <w:szCs w:val="21"/>
        </w:rPr>
        <w:t>制证方式</w:t>
      </w:r>
      <w:r>
        <w:rPr>
          <w:rFonts w:hint="eastAsia" w:ascii="黑体" w:hAnsi="黑体" w:eastAsia="黑体"/>
          <w:szCs w:val="21"/>
        </w:rPr>
        <w:t>默认，</w:t>
      </w:r>
      <w:r>
        <w:rPr>
          <w:rFonts w:ascii="黑体" w:hAnsi="黑体" w:eastAsia="黑体"/>
          <w:szCs w:val="21"/>
        </w:rPr>
        <w:t>软件CSP</w:t>
      </w:r>
      <w:r>
        <w:rPr>
          <w:rFonts w:hint="eastAsia" w:ascii="黑体" w:hAnsi="黑体" w:eastAsia="黑体"/>
          <w:szCs w:val="21"/>
        </w:rPr>
        <w:t>选择最后一项软证书</w:t>
      </w:r>
      <w:bookmarkEnd w:id="9"/>
      <w:r>
        <w:rPr>
          <w:rFonts w:hint="eastAsia" w:ascii="黑体" w:hAnsi="黑体" w:eastAsia="黑体"/>
          <w:szCs w:val="21"/>
        </w:rPr>
        <w:t>，（注：CSP选错是会报错的）。点击下载。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5274310" cy="2141220"/>
            <wp:effectExtent l="0" t="0" r="254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40"/>
                    </a:xfrm>
                    <a:prstGeom prst="halfFram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numPr>
          <w:ilvl w:val="2"/>
          <w:numId w:val="2"/>
        </w:num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 xml:space="preserve">下载的证书自动存放在IE浏览器-Internet选项-“内容”-“证书”-“个人” 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【注：不管是否有下载成功的提示，均请至IE浏览器-Internet选项-“内容”-“证书”-“个人”查看下是否已有下载的证书。证书只能下载一次的，不能重复下载。】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【注：如果14天没下载证书授权码过期、找不到证书了等这类问题出现，是需联系业务运营重新申请证书的。可登陆</w:t>
      </w:r>
      <w:r>
        <w:fldChar w:fldCharType="begin"/>
      </w:r>
      <w:r>
        <w:instrText xml:space="preserve"> HYPERLINK "https://merchant.unionpay.com/portal/login.jsp" </w:instrText>
      </w:r>
      <w:r>
        <w:fldChar w:fldCharType="separate"/>
      </w:r>
      <w:r>
        <w:rPr>
          <w:rFonts w:ascii="黑体" w:hAnsi="黑体" w:eastAsia="黑体"/>
          <w:szCs w:val="21"/>
        </w:rPr>
        <w:t>https://merchant.unionpay.com/portal/login.jsp</w:t>
      </w:r>
      <w:r>
        <w:rPr>
          <w:rFonts w:ascii="黑体" w:hAnsi="黑体" w:eastAsia="黑体"/>
          <w:szCs w:val="21"/>
        </w:rPr>
        <w:fldChar w:fldCharType="end"/>
      </w:r>
      <w:r>
        <w:rPr>
          <w:rFonts w:hint="eastAsia" w:ascii="黑体" w:hAnsi="黑体" w:eastAsia="黑体"/>
          <w:szCs w:val="21"/>
        </w:rPr>
        <w:t xml:space="preserve"> 服务单管理-创建服务单，提服务单，向业务运营申请新的证书。】</w:t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pStyle w:val="4"/>
        <w:numPr>
          <w:ilvl w:val="0"/>
          <w:numId w:val="0"/>
        </w:numPr>
        <w:ind w:left="720" w:hanging="720"/>
        <w:rPr>
          <w:rFonts w:ascii="黑体" w:hAnsi="黑体" w:eastAsia="黑体"/>
          <w:sz w:val="28"/>
          <w:szCs w:val="28"/>
        </w:rPr>
      </w:pPr>
      <w:bookmarkStart w:id="6" w:name="_Toc394058095"/>
      <w:bookmarkStart w:id="7" w:name="_Toc402875143"/>
      <w:bookmarkStart w:id="8" w:name="_Toc402961535"/>
      <w:r>
        <w:rPr>
          <w:rFonts w:hint="eastAsia" w:ascii="黑体" w:hAnsi="黑体" w:eastAsia="黑体"/>
          <w:sz w:val="28"/>
          <w:szCs w:val="28"/>
        </w:rPr>
        <w:t>2. 证书导出流程</w:t>
      </w:r>
      <w:bookmarkEnd w:id="6"/>
      <w:bookmarkEnd w:id="7"/>
      <w:bookmarkEnd w:id="8"/>
    </w:p>
    <w:p>
      <w:pPr>
        <w:ind w:firstLine="105" w:firstLineChars="5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 xml:space="preserve">1. 打开浏览器，点选 工具 </w:t>
      </w:r>
      <w:r>
        <w:rPr>
          <w:rFonts w:ascii="黑体" w:hAnsi="黑体" w:eastAsia="黑体"/>
          <w:szCs w:val="21"/>
        </w:rPr>
        <w:sym w:font="Wingdings" w:char="F0E0"/>
      </w:r>
      <w:r>
        <w:rPr>
          <w:rFonts w:hint="eastAsia" w:ascii="黑体" w:hAnsi="黑体" w:eastAsia="黑体"/>
          <w:szCs w:val="21"/>
        </w:rPr>
        <w:t xml:space="preserve"> Internet选项 </w:t>
      </w:r>
      <w:r>
        <w:rPr>
          <w:rFonts w:ascii="黑体" w:hAnsi="黑体" w:eastAsia="黑体"/>
          <w:szCs w:val="21"/>
        </w:rPr>
        <w:sym w:font="Wingdings" w:char="F0E0"/>
      </w:r>
      <w:r>
        <w:rPr>
          <w:rFonts w:hint="eastAsia" w:ascii="黑体" w:hAnsi="黑体" w:eastAsia="黑体"/>
          <w:szCs w:val="21"/>
        </w:rPr>
        <w:t xml:space="preserve"> 内容 </w:t>
      </w:r>
      <w:r>
        <w:rPr>
          <w:rFonts w:ascii="黑体" w:hAnsi="黑体" w:eastAsia="黑体"/>
          <w:szCs w:val="21"/>
        </w:rPr>
        <w:sym w:font="Wingdings" w:char="F0E0"/>
      </w:r>
      <w:r>
        <w:rPr>
          <w:rFonts w:hint="eastAsia" w:ascii="黑体" w:hAnsi="黑体" w:eastAsia="黑体"/>
          <w:szCs w:val="21"/>
        </w:rPr>
        <w:t xml:space="preserve"> 证书；</w:t>
      </w:r>
      <w:r>
        <w:rPr>
          <w:rFonts w:ascii="黑体" w:hAnsi="黑体" w:eastAsia="黑体"/>
          <w:szCs w:val="21"/>
        </w:rPr>
        <w:drawing>
          <wp:inline distT="0" distB="0" distL="0" distR="0">
            <wp:extent cx="5267325" cy="3114675"/>
            <wp:effectExtent l="19050" t="0" r="9525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jc w:val="left"/>
        <w:rPr>
          <w:rFonts w:ascii="黑体" w:hAnsi="黑体" w:eastAsia="黑体"/>
          <w:szCs w:val="21"/>
        </w:rPr>
      </w:pPr>
    </w:p>
    <w:p>
      <w:pPr>
        <w:ind w:firstLine="105" w:firstLineChars="5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2. 以商户号：700000000000001为例说明整个导出流程</w:t>
      </w:r>
    </w:p>
    <w:p>
      <w:pPr>
        <w:ind w:left="42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在个人证书中找到相对应的证书，点选导出；</w:t>
      </w:r>
    </w:p>
    <w:p>
      <w:pPr>
        <w:jc w:val="left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772025" cy="4086225"/>
            <wp:effectExtent l="19050" t="0" r="9525" b="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b/>
          <w:szCs w:val="21"/>
        </w:rPr>
      </w:pPr>
    </w:p>
    <w:p>
      <w:pPr>
        <w:ind w:firstLine="210" w:firstLineChars="100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3.跳出证书导出向导对话框，点击下一步；</w:t>
      </w:r>
    </w:p>
    <w:p>
      <w:pPr>
        <w:jc w:val="left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829175" cy="3505200"/>
            <wp:effectExtent l="19050" t="0" r="9525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b/>
          <w:szCs w:val="21"/>
        </w:rPr>
      </w:pPr>
    </w:p>
    <w:p>
      <w:pPr>
        <w:ind w:firstLine="210" w:firstLineChars="10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4.选择导出私钥</w:t>
      </w:r>
    </w:p>
    <w:p>
      <w:pPr>
        <w:ind w:firstLine="210" w:firstLineChars="10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选择：“是，导出私钥”，点击“下一步”。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772025" cy="3438525"/>
            <wp:effectExtent l="19050" t="0" r="9525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ind w:firstLine="210" w:firstLineChars="10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5.导出私钥文件格式默认点击下一步；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752975" cy="3409950"/>
            <wp:effectExtent l="1905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b/>
          <w:sz w:val="28"/>
          <w:szCs w:val="28"/>
        </w:rPr>
        <w:t>或者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962525" cy="4152900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28"/>
          <w:szCs w:val="28"/>
        </w:rPr>
        <w:t>或者：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752850" cy="1708150"/>
            <wp:effectExtent l="19050" t="0" r="0" b="0"/>
            <wp:docPr id="24" name="图片 15" descr="S1ZR(BOQS$FPIO5Z5WTM~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S1ZR(BOQS$FPIO5Z5WTM~B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ind w:firstLine="105" w:firstLineChars="5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6.键入证书私钥密码，请不要超过6位，尽量6位纯数字；</w:t>
      </w:r>
    </w:p>
    <w:p>
      <w:pPr>
        <w:jc w:val="left"/>
        <w:rPr>
          <w:rFonts w:hint="eastAsia"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314825" cy="3082925"/>
            <wp:effectExtent l="19050" t="0" r="9525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8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Cs w:val="21"/>
        </w:rPr>
      </w:pPr>
    </w:p>
    <w:p>
      <w:pPr>
        <w:jc w:val="left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或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956300" cy="5934075"/>
            <wp:effectExtent l="19050" t="0" r="6238" b="0"/>
            <wp:docPr id="17" name="图片 11" descr="D:\我的文档d\800033969\1002\Image\Image1\O}8R_QYWM}MF(2FRA43Q`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D:\我的文档d\800033969\1002\Image\Image1\O}8R_QYWM}MF(2FRA43Q`P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412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</w:p>
    <w:p>
      <w:pPr>
        <w:ind w:firstLine="105" w:firstLineChars="5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7.指定导出证书的文件名，并选择目录存放证书，点击下一步；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162425" cy="3058795"/>
            <wp:effectExtent l="1905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05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ind w:firstLine="105" w:firstLineChars="5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8.点击完成，证书导出成功。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962400" cy="3429635"/>
            <wp:effectExtent l="19050" t="0" r="0" b="0"/>
            <wp:docPr id="8" name="图片 18" descr="3W_RCP7]~E9KBQX3$]U40$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3W_RCP7]~E9KBQX3$]U40$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9、请再从浏览器导出.cer公钥</w:t>
      </w:r>
    </w:p>
    <w:p>
      <w:pPr>
        <w:ind w:firstLine="210" w:firstLineChars="10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选择：“不，不要导出私钥”，点击“下一步”。</w:t>
      </w:r>
    </w:p>
    <w:p>
      <w:pPr>
        <w:ind w:firstLine="210" w:firstLineChars="100"/>
        <w:jc w:val="left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drawing>
          <wp:inline distT="0" distB="0" distL="0" distR="0">
            <wp:extent cx="4124325" cy="1927860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92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ind w:firstLine="210" w:firstLineChars="100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导出公钥文件格式：选择第二项“Base64编码X.509(.CER)(S)”这个选项。</w:t>
      </w:r>
    </w:p>
    <w:p>
      <w:pPr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drawing>
          <wp:inline distT="0" distB="0" distL="0" distR="0">
            <wp:extent cx="3762375" cy="18383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Cs w:val="21"/>
        </w:rPr>
      </w:pPr>
    </w:p>
    <w:p>
      <w:pPr>
        <w:pStyle w:val="4"/>
        <w:numPr>
          <w:ilvl w:val="0"/>
          <w:numId w:val="3"/>
        </w:num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安全证书上传及启用</w:t>
      </w:r>
    </w:p>
    <w:p>
      <w:pPr>
        <w:pStyle w:val="32"/>
        <w:numPr>
          <w:ilvl w:val="0"/>
          <w:numId w:val="4"/>
        </w:numPr>
        <w:ind w:firstLineChars="0"/>
        <w:rPr>
          <w:rFonts w:ascii="黑体" w:hAnsi="黑体" w:eastAsia="黑体"/>
        </w:rPr>
      </w:pPr>
      <w:r>
        <w:fldChar w:fldCharType="begin"/>
      </w:r>
      <w:r>
        <w:instrText xml:space="preserve"> HYPERLINK "https://merchant.unionpay.com/portal/login.jsp" </w:instrText>
      </w:r>
      <w:r>
        <w:fldChar w:fldCharType="separate"/>
      </w:r>
      <w:r>
        <w:rPr>
          <w:rStyle w:val="16"/>
        </w:rPr>
        <w:t>https://merchant.unionpay.com/portal/login.jsp</w:t>
      </w:r>
      <w:r>
        <w:rPr>
          <w:rStyle w:val="16"/>
        </w:rPr>
        <w:fldChar w:fldCharType="end"/>
      </w:r>
      <w:r>
        <w:rPr>
          <w:rFonts w:hint="eastAsia" w:ascii="黑体" w:hAnsi="黑体" w:eastAsia="黑体"/>
        </w:rPr>
        <w:t>商户服务平台，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【注：登录的用户名密码，必须是入网参数信息通知里，业务提供的用户名密码，注：一个商户号对应一个用户名密码。】</w:t>
      </w:r>
    </w:p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用户登录后，页面点击“快捷服务”图标：“商户服务平台”。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75666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用户成功进入后，鼠标移至上</w:t>
      </w:r>
      <w:r>
        <w:rPr>
          <w:rFonts w:ascii="黑体" w:hAnsi="黑体" w:eastAsia="黑体"/>
        </w:rPr>
        <w:t>方的</w:t>
      </w:r>
      <w:r>
        <w:rPr>
          <w:rFonts w:hint="eastAsia" w:ascii="黑体" w:hAnsi="黑体" w:eastAsia="黑体"/>
        </w:rPr>
        <w:t>用户</w:t>
      </w:r>
      <w:r>
        <w:rPr>
          <w:rFonts w:ascii="黑体" w:hAnsi="黑体" w:eastAsia="黑体"/>
        </w:rPr>
        <w:t>中心，点击</w:t>
      </w:r>
      <w:r>
        <w:rPr>
          <w:rFonts w:hint="eastAsia" w:ascii="黑体" w:hAnsi="黑体" w:eastAsia="黑体"/>
        </w:rPr>
        <w:t>“安全管理”中的【安全</w:t>
      </w:r>
      <w:r>
        <w:rPr>
          <w:rFonts w:ascii="黑体" w:hAnsi="黑体" w:eastAsia="黑体"/>
        </w:rPr>
        <w:t>证书上传及下载</w:t>
      </w:r>
      <w:r>
        <w:rPr>
          <w:rFonts w:hint="eastAsia" w:ascii="黑体" w:hAnsi="黑体" w:eastAsia="黑体"/>
        </w:rPr>
        <w:t>】。</w:t>
      </w:r>
    </w:p>
    <w:p>
      <w:pPr>
        <w:rPr>
          <w:rFonts w:ascii="黑体" w:hAnsi="黑体" w:eastAsia="黑体"/>
        </w:rPr>
      </w:pPr>
    </w:p>
    <w:p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274310" cy="236283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</w:p>
    <w:p>
      <w:pPr>
        <w:widowControl/>
        <w:jc w:val="left"/>
        <w:rPr>
          <w:rFonts w:hint="eastAsia"/>
        </w:rPr>
      </w:pPr>
      <w:r>
        <w:rPr>
          <w:rFonts w:hint="eastAsia"/>
        </w:rPr>
        <w:t>【注：目前仅支持上传.cer证书</w:t>
      </w:r>
    </w:p>
    <w:p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274310" cy="1576070"/>
            <wp:effectExtent l="19050" t="0" r="2540" b="0"/>
            <wp:docPr id="11" name="图片 7" descr="D:\我的文档d\800033969\1002\Image\Image1\RWL8A~KJUJ`W@C%I6JV61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D:\我的文档d\800033969\1002\Image\Image1\RWL8A~KJUJ`W@C%I6JV61_J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</w:p>
    <w:p>
      <w:pPr>
        <w:widowControl/>
        <w:jc w:val="left"/>
      </w:pPr>
    </w:p>
    <w:p>
      <w:pPr>
        <w:pStyle w:val="32"/>
        <w:numPr>
          <w:ilvl w:val="0"/>
          <w:numId w:val="4"/>
        </w:numPr>
        <w:ind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选择要上传的证书，以及选择证书的类型；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选择CER</w:t>
      </w:r>
      <w:r>
        <w:rPr>
          <w:rFonts w:ascii="黑体" w:hAnsi="黑体" w:eastAsia="黑体"/>
        </w:rPr>
        <w:t>格式的证书文件</w:t>
      </w:r>
      <w:r>
        <w:rPr>
          <w:rFonts w:hint="eastAsia" w:ascii="黑体" w:hAnsi="黑体" w:eastAsia="黑体"/>
        </w:rPr>
        <w:t>，选中</w:t>
      </w:r>
      <w:r>
        <w:rPr>
          <w:rFonts w:ascii="黑体" w:hAnsi="黑体" w:eastAsia="黑体"/>
        </w:rPr>
        <w:t>CER的</w:t>
      </w:r>
      <w:r>
        <w:rPr>
          <w:rFonts w:hint="eastAsia" w:ascii="黑体" w:hAnsi="黑体" w:eastAsia="黑体"/>
        </w:rPr>
        <w:t>证书</w:t>
      </w:r>
      <w:r>
        <w:rPr>
          <w:rFonts w:ascii="黑体" w:hAnsi="黑体" w:eastAsia="黑体"/>
        </w:rPr>
        <w:t>类型</w:t>
      </w:r>
      <w:r>
        <w:rPr>
          <w:rFonts w:hint="eastAsia" w:ascii="黑体" w:hAnsi="黑体" w:eastAsia="黑体"/>
        </w:rPr>
        <w:t>，点【上传】按钮【注：目前只能上传前面导出步骤中所导出的.cer公钥证书。】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133975" cy="1628775"/>
            <wp:effectExtent l="19050" t="0" r="952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</w:t>
      </w:r>
      <w:r>
        <w:rPr>
          <w:rFonts w:ascii="黑体" w:hAnsi="黑体" w:eastAsia="黑体"/>
        </w:rPr>
        <w:t>上传按钮即可完成对CER</w:t>
      </w:r>
      <w:r>
        <w:rPr>
          <w:rFonts w:hint="eastAsia" w:ascii="黑体" w:hAnsi="黑体" w:eastAsia="黑体"/>
        </w:rPr>
        <w:t>证书</w:t>
      </w:r>
      <w:r>
        <w:rPr>
          <w:rFonts w:ascii="黑体" w:hAnsi="黑体" w:eastAsia="黑体"/>
        </w:rPr>
        <w:t>文件的上传。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3 点击启用证书；</w:t>
      </w:r>
      <w:r>
        <w:rPr>
          <w:rFonts w:ascii="黑体" w:hAnsi="黑体" w:eastAsia="黑体"/>
        </w:rPr>
        <w:t>https://merchant.unionpay.com/portal/login.jsp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成功登陆系统后，鼠标移至上</w:t>
      </w:r>
      <w:r>
        <w:rPr>
          <w:rFonts w:ascii="黑体" w:hAnsi="黑体" w:eastAsia="黑体"/>
        </w:rPr>
        <w:t>方的</w:t>
      </w:r>
      <w:r>
        <w:rPr>
          <w:rFonts w:hint="eastAsia" w:ascii="黑体" w:hAnsi="黑体" w:eastAsia="黑体"/>
        </w:rPr>
        <w:t>用户</w:t>
      </w:r>
      <w:r>
        <w:rPr>
          <w:rFonts w:ascii="黑体" w:hAnsi="黑体" w:eastAsia="黑体"/>
        </w:rPr>
        <w:t>中心，点击</w:t>
      </w:r>
      <w:r>
        <w:rPr>
          <w:rFonts w:hint="eastAsia" w:ascii="黑体" w:hAnsi="黑体" w:eastAsia="黑体"/>
        </w:rPr>
        <w:t>【安全</w:t>
      </w:r>
      <w:r>
        <w:rPr>
          <w:rFonts w:ascii="黑体" w:hAnsi="黑体" w:eastAsia="黑体"/>
        </w:rPr>
        <w:t>证书</w:t>
      </w:r>
      <w:r>
        <w:rPr>
          <w:rFonts w:hint="eastAsia" w:ascii="黑体" w:hAnsi="黑体" w:eastAsia="黑体"/>
        </w:rPr>
        <w:t>管理】，下侧出现安全证书管理</w:t>
      </w:r>
      <w:r>
        <w:rPr>
          <w:rFonts w:ascii="黑体" w:hAnsi="黑体" w:eastAsia="黑体"/>
        </w:rPr>
        <w:t>页面</w:t>
      </w:r>
      <w:r>
        <w:rPr>
          <w:rFonts w:hint="eastAsia" w:ascii="黑体" w:hAnsi="黑体" w:eastAsia="黑体"/>
        </w:rPr>
        <w:t>，</w:t>
      </w:r>
      <w:r>
        <w:rPr>
          <w:rFonts w:ascii="黑体" w:hAnsi="黑体" w:eastAsia="黑体"/>
        </w:rPr>
        <w:t>点击</w:t>
      </w:r>
      <w:r>
        <w:rPr>
          <w:rFonts w:hint="eastAsia" w:ascii="黑体" w:hAnsi="黑体" w:eastAsia="黑体"/>
        </w:rPr>
        <w:t>记录</w:t>
      </w:r>
      <w:r>
        <w:rPr>
          <w:rFonts w:ascii="黑体" w:hAnsi="黑体" w:eastAsia="黑体"/>
        </w:rPr>
        <w:t>后面的</w:t>
      </w:r>
      <w:r>
        <w:rPr>
          <w:rFonts w:hint="eastAsia" w:ascii="黑体" w:hAnsi="黑体" w:eastAsia="黑体"/>
        </w:rPr>
        <w:t>“启</w:t>
      </w:r>
      <w:r>
        <w:rPr>
          <w:rFonts w:ascii="黑体" w:hAnsi="黑体" w:eastAsia="黑体"/>
        </w:rPr>
        <w:t>用</w:t>
      </w:r>
      <w:r>
        <w:rPr>
          <w:rFonts w:hint="eastAsia" w:ascii="黑体" w:hAnsi="黑体" w:eastAsia="黑体"/>
        </w:rPr>
        <w:t>”</w:t>
      </w:r>
      <w:r>
        <w:rPr>
          <w:rFonts w:ascii="黑体" w:hAnsi="黑体" w:eastAsia="黑体"/>
        </w:rPr>
        <w:t>链接</w:t>
      </w:r>
      <w:r>
        <w:rPr>
          <w:rFonts w:hint="eastAsia" w:ascii="黑体" w:hAnsi="黑体" w:eastAsia="黑体"/>
        </w:rPr>
        <w:t>，并“确定”启用。</w:t>
      </w:r>
    </w:p>
    <w:p>
      <w:pPr>
        <w:rPr>
          <w:rFonts w:ascii="黑体" w:hAnsi="黑体" w:eastAsia="黑体"/>
        </w:rPr>
      </w:pPr>
      <w:r>
        <w:drawing>
          <wp:inline distT="0" distB="0" distL="0" distR="0">
            <wp:extent cx="5274310" cy="2731770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drawing>
          <wp:inline distT="0" distB="0" distL="0" distR="0">
            <wp:extent cx="5274310" cy="2465705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【注：启用10分钟才生效，请10分钟后再发生产交易。】</w:t>
      </w:r>
    </w:p>
    <w:p>
      <w:pPr>
        <w:widowControl/>
        <w:jc w:val="left"/>
        <w:rPr>
          <w:rFonts w:ascii="黑体" w:hAnsi="黑体" w:eastAsia="黑体" w:cs="宋体"/>
          <w:kern w:val="0"/>
          <w:sz w:val="24"/>
        </w:rPr>
      </w:pPr>
    </w:p>
    <w:p/>
    <w:sectPr>
      <w:pgSz w:w="11906" w:h="16838"/>
      <w:pgMar w:top="1135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290C"/>
    <w:multiLevelType w:val="multilevel"/>
    <w:tmpl w:val="0609290C"/>
    <w:lvl w:ilvl="0" w:tentative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DA7505"/>
    <w:multiLevelType w:val="multilevel"/>
    <w:tmpl w:val="19DA7505"/>
    <w:lvl w:ilvl="0" w:tentative="0">
      <w:start w:val="1"/>
      <w:numFmt w:val="lowerLetter"/>
      <w:lvlText w:val="%1)"/>
      <w:lvlJc w:val="left"/>
      <w:pPr>
        <w:ind w:left="888" w:hanging="420"/>
      </w:pPr>
    </w:lvl>
    <w:lvl w:ilvl="1" w:tentative="0">
      <w:start w:val="1"/>
      <w:numFmt w:val="lowerLetter"/>
      <w:lvlText w:val="%2)"/>
      <w:lvlJc w:val="left"/>
      <w:pPr>
        <w:ind w:left="1308" w:hanging="420"/>
      </w:pPr>
    </w:lvl>
    <w:lvl w:ilvl="2" w:tentative="0">
      <w:start w:val="1"/>
      <w:numFmt w:val="decimal"/>
      <w:lvlText w:val="%3."/>
      <w:lvlJc w:val="left"/>
      <w:pPr>
        <w:ind w:left="786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48" w:hanging="420"/>
      </w:pPr>
    </w:lvl>
    <w:lvl w:ilvl="4" w:tentative="0">
      <w:start w:val="1"/>
      <w:numFmt w:val="lowerLetter"/>
      <w:lvlText w:val="%5)"/>
      <w:lvlJc w:val="left"/>
      <w:pPr>
        <w:ind w:left="2568" w:hanging="420"/>
      </w:pPr>
    </w:lvl>
    <w:lvl w:ilvl="5" w:tentative="0">
      <w:start w:val="1"/>
      <w:numFmt w:val="lowerRoman"/>
      <w:lvlText w:val="%6."/>
      <w:lvlJc w:val="right"/>
      <w:pPr>
        <w:ind w:left="2988" w:hanging="420"/>
      </w:pPr>
    </w:lvl>
    <w:lvl w:ilvl="6" w:tentative="0">
      <w:start w:val="1"/>
      <w:numFmt w:val="decimal"/>
      <w:lvlText w:val="%7."/>
      <w:lvlJc w:val="left"/>
      <w:pPr>
        <w:ind w:left="3408" w:hanging="420"/>
      </w:pPr>
    </w:lvl>
    <w:lvl w:ilvl="7" w:tentative="0">
      <w:start w:val="1"/>
      <w:numFmt w:val="lowerLetter"/>
      <w:lvlText w:val="%8)"/>
      <w:lvlJc w:val="left"/>
      <w:pPr>
        <w:ind w:left="3828" w:hanging="420"/>
      </w:pPr>
    </w:lvl>
    <w:lvl w:ilvl="8" w:tentative="0">
      <w:start w:val="1"/>
      <w:numFmt w:val="lowerRoman"/>
      <w:lvlText w:val="%9."/>
      <w:lvlJc w:val="right"/>
      <w:pPr>
        <w:ind w:left="4248" w:hanging="420"/>
      </w:pPr>
    </w:lvl>
  </w:abstractNum>
  <w:abstractNum w:abstractNumId="2">
    <w:nsid w:val="30612A4B"/>
    <w:multiLevelType w:val="multilevel"/>
    <w:tmpl w:val="30612A4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A01A1F"/>
    <w:multiLevelType w:val="multilevel"/>
    <w:tmpl w:val="47A01A1F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lang w:val="en-U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0C4B"/>
    <w:rsid w:val="00016645"/>
    <w:rsid w:val="00037CA3"/>
    <w:rsid w:val="000A7D20"/>
    <w:rsid w:val="001178B9"/>
    <w:rsid w:val="002964EE"/>
    <w:rsid w:val="002E7846"/>
    <w:rsid w:val="002F17F1"/>
    <w:rsid w:val="002F270D"/>
    <w:rsid w:val="00376F2F"/>
    <w:rsid w:val="003D0BEA"/>
    <w:rsid w:val="004148CF"/>
    <w:rsid w:val="00470C4B"/>
    <w:rsid w:val="00470F61"/>
    <w:rsid w:val="00494E75"/>
    <w:rsid w:val="0049735E"/>
    <w:rsid w:val="004976AE"/>
    <w:rsid w:val="004D5588"/>
    <w:rsid w:val="00577B2F"/>
    <w:rsid w:val="005B144E"/>
    <w:rsid w:val="006673F6"/>
    <w:rsid w:val="006717EB"/>
    <w:rsid w:val="00696F66"/>
    <w:rsid w:val="006A7E98"/>
    <w:rsid w:val="007537E9"/>
    <w:rsid w:val="007B524A"/>
    <w:rsid w:val="007C27FF"/>
    <w:rsid w:val="007E4217"/>
    <w:rsid w:val="008D4B73"/>
    <w:rsid w:val="009C7FA0"/>
    <w:rsid w:val="00A51183"/>
    <w:rsid w:val="00A708D7"/>
    <w:rsid w:val="00A8646C"/>
    <w:rsid w:val="00AF70B2"/>
    <w:rsid w:val="00B0553A"/>
    <w:rsid w:val="00B76DAC"/>
    <w:rsid w:val="00BD0A86"/>
    <w:rsid w:val="00C00C0E"/>
    <w:rsid w:val="00C30965"/>
    <w:rsid w:val="00C316F5"/>
    <w:rsid w:val="00C62360"/>
    <w:rsid w:val="00C90D83"/>
    <w:rsid w:val="00CD6ED1"/>
    <w:rsid w:val="00D6468F"/>
    <w:rsid w:val="00DA4410"/>
    <w:rsid w:val="00E11354"/>
    <w:rsid w:val="00E46531"/>
    <w:rsid w:val="00E53B8B"/>
    <w:rsid w:val="00EA20BC"/>
    <w:rsid w:val="00EB042A"/>
    <w:rsid w:val="00ED067E"/>
    <w:rsid w:val="7851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4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5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26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7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28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15">
    <w:name w:val="Default Paragraph Font"/>
    <w:unhideWhenUsed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4"/>
    <w:unhideWhenUsed/>
    <w:uiPriority w:val="99"/>
    <w:rPr>
      <w:rFonts w:ascii="宋体"/>
      <w:sz w:val="18"/>
      <w:szCs w:val="18"/>
    </w:rPr>
  </w:style>
  <w:style w:type="paragraph" w:styleId="12">
    <w:name w:val="Balloon Text"/>
    <w:basedOn w:val="1"/>
    <w:link w:val="33"/>
    <w:unhideWhenUsed/>
    <w:uiPriority w:val="99"/>
    <w:rPr>
      <w:sz w:val="18"/>
      <w:szCs w:val="18"/>
    </w:rPr>
  </w:style>
  <w:style w:type="paragraph" w:styleId="13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unhideWhenUsed/>
    <w:uiPriority w:val="99"/>
    <w:rPr>
      <w:color w:val="0000FF"/>
      <w:u w:val="single"/>
    </w:rPr>
  </w:style>
  <w:style w:type="character" w:customStyle="1" w:styleId="18">
    <w:name w:val="页眉 Char"/>
    <w:basedOn w:val="15"/>
    <w:link w:val="14"/>
    <w:semiHidden/>
    <w:uiPriority w:val="99"/>
    <w:rPr>
      <w:sz w:val="18"/>
      <w:szCs w:val="18"/>
    </w:rPr>
  </w:style>
  <w:style w:type="character" w:customStyle="1" w:styleId="19">
    <w:name w:val="页脚 Char"/>
    <w:basedOn w:val="15"/>
    <w:link w:val="13"/>
    <w:semiHidden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2">
    <w:name w:val="标题 3 Char"/>
    <w:basedOn w:val="15"/>
    <w:link w:val="4"/>
    <w:semiHidden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3">
    <w:name w:val="标题 4 Char"/>
    <w:basedOn w:val="15"/>
    <w:link w:val="5"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4">
    <w:name w:val="标题 5 Char"/>
    <w:basedOn w:val="15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5">
    <w:name w:val="标题 6 Char"/>
    <w:basedOn w:val="15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6">
    <w:name w:val="标题 7 Char"/>
    <w:basedOn w:val="15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27">
    <w:name w:val="标题 8 Char"/>
    <w:basedOn w:val="15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28">
    <w:name w:val="标题 9 Char"/>
    <w:basedOn w:val="15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29">
    <w:name w:val="段"/>
    <w:link w:val="3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character" w:customStyle="1" w:styleId="30">
    <w:name w:val="标题 3 Char1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1">
    <w:name w:val="段 Char"/>
    <w:link w:val="29"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框文本 Char"/>
    <w:basedOn w:val="15"/>
    <w:link w:val="1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文档结构图 Char"/>
    <w:basedOn w:val="15"/>
    <w:link w:val="11"/>
    <w:semiHidden/>
    <w:uiPriority w:val="99"/>
    <w:rPr>
      <w:rFonts w:ascii="宋体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247</Words>
  <Characters>1408</Characters>
  <Lines>11</Lines>
  <Paragraphs>3</Paragraphs>
  <TotalTime>0</TotalTime>
  <ScaleCrop>false</ScaleCrop>
  <LinksUpToDate>false</LinksUpToDate>
  <CharactersWithSpaces>1652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2017-06-16T06:46:00Z</dcterms:created>
  <dc:creator>PC</dc:creator>
  <cp:lastModifiedBy>Administrator</cp:lastModifiedBy>
  <dcterms:modified xsi:type="dcterms:W3CDTF">2017-09-25T10:06:34Z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